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4CBD5" w14:textId="77777777" w:rsidR="001A3919" w:rsidRPr="000D1B82" w:rsidRDefault="001A3919" w:rsidP="001A39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11346">
        <w:rPr>
          <w:rFonts w:ascii="Arial" w:hAnsi="Arial" w:cs="Arial"/>
          <w:b/>
          <w:sz w:val="24"/>
          <w:szCs w:val="24"/>
        </w:rPr>
        <w:t>PROPOSTA</w:t>
      </w:r>
    </w:p>
    <w:p w14:paraId="537C57C9" w14:textId="77777777" w:rsidR="001A3919" w:rsidRDefault="001A3919" w:rsidP="001A3919">
      <w:pPr>
        <w:pStyle w:val="Corpodetexto"/>
        <w:jc w:val="both"/>
        <w:rPr>
          <w:rFonts w:cs="Arial"/>
          <w:b/>
          <w:sz w:val="24"/>
          <w:szCs w:val="24"/>
        </w:rPr>
      </w:pPr>
    </w:p>
    <w:p w14:paraId="644096B4" w14:textId="77777777" w:rsidR="001A3919" w:rsidRPr="006F5FF1" w:rsidRDefault="001A3919" w:rsidP="001A3919">
      <w:pPr>
        <w:pStyle w:val="Corpodetexto"/>
        <w:spacing w:after="24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Considerando que:</w:t>
      </w:r>
    </w:p>
    <w:p w14:paraId="1CE26BAF" w14:textId="77777777" w:rsidR="001A3919" w:rsidRDefault="001A3919" w:rsidP="001A3919">
      <w:pPr>
        <w:pStyle w:val="PargrafodaLista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do Porto tem apostado na implementação de uma política de transportes coesa e sustentável, tendo por base uma rede de transporte público estruturada e com elevada capacidade, por um lado participando ativamente naquilo que é a oferta de transporte público rodoviário, enquanto acionista maioritário da STCP, por outro possibilitando a restruturação da oferta e das redes através da implementação de terminais rodoviários e interfaces de transporte público que permitam uma articulação, em rede, de todos os serviços e modos de transporte, tendo como expoente máximo o Terminal Intermodal de Campanhã;</w:t>
      </w:r>
    </w:p>
    <w:p w14:paraId="3549C874" w14:textId="77777777" w:rsidR="001A3919" w:rsidRDefault="001A3919" w:rsidP="001A3919">
      <w:pPr>
        <w:pStyle w:val="PargrafodaLista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Fazem parte da rede de infraestruturas de apoio ao serviço de transporte público não só terminais rodoviários e interfaces, mas também parques de estacionamento, ligações mecanizadas, tais como Funicular, elevadores ou escadas mecânicas;</w:t>
      </w:r>
    </w:p>
    <w:p w14:paraId="6A9BE69A" w14:textId="77777777" w:rsidR="001A3919" w:rsidRDefault="001A3919" w:rsidP="001A3919">
      <w:pPr>
        <w:pStyle w:val="PargrafodaLista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da Lei n.º 52/2015, de 9 de junho, que estabelece o Regime Jurídico do Serviço Público de Transporte de Passageiros, o Município do Porto é autoridade de transportes no que concerne às infraestruturas e equipamentos de transportes sua propriedade ou colocados à sua disposição; </w:t>
      </w:r>
    </w:p>
    <w:p w14:paraId="79EA8153" w14:textId="77777777" w:rsidR="001A3919" w:rsidRDefault="001A3919" w:rsidP="001A3919">
      <w:pPr>
        <w:pStyle w:val="PargrafodaLista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artigo 11º do Regime Jurídico do Serviço Público de Transporte de Passageiros (RJSPTP), relativo ao financiamento das autoridades de transportes prevê que as autoridades de transportes possam </w:t>
      </w:r>
      <w:r w:rsidRPr="00631CBE">
        <w:rPr>
          <w:rFonts w:ascii="Arial" w:hAnsi="Arial" w:cs="Arial"/>
          <w:sz w:val="24"/>
          <w:szCs w:val="24"/>
        </w:rPr>
        <w:t xml:space="preserve">estabelecer mecanismos de financiamento das obrigações de serviço público de transporte de passageiros da sua competência que impliquem, a afetação </w:t>
      </w:r>
      <w:r>
        <w:rPr>
          <w:rFonts w:ascii="Arial" w:hAnsi="Arial" w:cs="Arial"/>
          <w:sz w:val="24"/>
          <w:szCs w:val="24"/>
        </w:rPr>
        <w:t>do produto de outras receitas</w:t>
      </w:r>
      <w:r w:rsidRPr="00631CBE">
        <w:rPr>
          <w:rFonts w:ascii="Arial" w:hAnsi="Arial" w:cs="Arial"/>
          <w:sz w:val="24"/>
          <w:szCs w:val="24"/>
        </w:rPr>
        <w:t xml:space="preserve"> relacionadas com o sistema de transportes como receitas provenientes de estacionamento, ou de taxas cobradas </w:t>
      </w:r>
      <w:r>
        <w:rPr>
          <w:rFonts w:ascii="Arial" w:hAnsi="Arial" w:cs="Arial"/>
          <w:sz w:val="24"/>
          <w:szCs w:val="24"/>
        </w:rPr>
        <w:t xml:space="preserve">na </w:t>
      </w:r>
      <w:r w:rsidRPr="00631CBE">
        <w:rPr>
          <w:rFonts w:ascii="Arial" w:hAnsi="Arial" w:cs="Arial"/>
          <w:sz w:val="24"/>
          <w:szCs w:val="24"/>
        </w:rPr>
        <w:t>prestação de serviços relativos ao sistema de transportes públicos de passageiros de âmbito municipal, intermunicipal e inter-regional</w:t>
      </w:r>
      <w:r>
        <w:rPr>
          <w:rFonts w:ascii="Arial" w:hAnsi="Arial" w:cs="Arial"/>
          <w:sz w:val="24"/>
          <w:szCs w:val="24"/>
        </w:rPr>
        <w:t>, como em terminais por exemplo, entre outras receitas;</w:t>
      </w:r>
    </w:p>
    <w:p w14:paraId="3470561F" w14:textId="77777777" w:rsidR="001A3919" w:rsidRDefault="001A3919" w:rsidP="001A3919">
      <w:pPr>
        <w:pStyle w:val="PargrafodaLista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conjunto de todas infraestruturas de apoio ao serviço de transporte público acrescido de infraestruturas específicas diretamente relacionadas com transportes tais como o ramal da Alfândega, e os centros de logística urbana previstos no Plano de Logística Urbana recentemente aprovado, têm uma dimensão e especificidade de negócio própria geradores de receita à luz artigo 11º do RJSPTP quando geridos de forma eficiente e eficaz em articulação, permitindo futuramente dessa forma gerar receita para o financiamento das obrigações de serviço público do serviço prestado pela STCP no Município do Porto;</w:t>
      </w:r>
    </w:p>
    <w:p w14:paraId="54A4BE99" w14:textId="77777777" w:rsidR="001A3919" w:rsidRDefault="001A3919" w:rsidP="001A3919">
      <w:pPr>
        <w:pStyle w:val="PargrafodaLista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44EDC">
        <w:rPr>
          <w:rFonts w:ascii="Arial" w:hAnsi="Arial" w:cs="Arial"/>
          <w:sz w:val="24"/>
          <w:szCs w:val="24"/>
        </w:rPr>
        <w:t>Os serviços municipais focam-se</w:t>
      </w:r>
      <w:r>
        <w:rPr>
          <w:rFonts w:ascii="Arial" w:hAnsi="Arial" w:cs="Arial"/>
          <w:sz w:val="24"/>
          <w:szCs w:val="24"/>
        </w:rPr>
        <w:t xml:space="preserve"> </w:t>
      </w:r>
      <w:r w:rsidRPr="00144EDC">
        <w:rPr>
          <w:rFonts w:ascii="Arial" w:hAnsi="Arial" w:cs="Arial"/>
          <w:sz w:val="24"/>
          <w:szCs w:val="24"/>
        </w:rPr>
        <w:t>na definição de estratégia de transporte e mobilidade, planeamento, regulação e fiscalização do cumprimentos das normas municipais no que respeita a transporte e mobilidade, e assim devem fazê-lo enquanto autoridade de transportes, não estando por isso focados na gestão eficiente e eficaz de uma rede de infraestruturas de suporte ao transporte público</w:t>
      </w:r>
      <w:r>
        <w:rPr>
          <w:rFonts w:ascii="Arial" w:hAnsi="Arial" w:cs="Arial"/>
          <w:sz w:val="24"/>
          <w:szCs w:val="24"/>
        </w:rPr>
        <w:t xml:space="preserve"> com a dimensão que entretanto a rede tomou;</w:t>
      </w:r>
    </w:p>
    <w:p w14:paraId="4F30DD88" w14:textId="77777777" w:rsidR="001A3919" w:rsidRPr="00144EDC" w:rsidRDefault="001A3919" w:rsidP="001A3919">
      <w:pPr>
        <w:pStyle w:val="PargrafodaLista"/>
        <w:tabs>
          <w:tab w:val="left" w:pos="284"/>
        </w:tabs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0AF7E1A" w14:textId="77777777" w:rsidR="001A3919" w:rsidRPr="000918E5" w:rsidRDefault="001A3919" w:rsidP="001A3919">
      <w:pPr>
        <w:pStyle w:val="PargrafodaLista"/>
        <w:tabs>
          <w:tab w:val="left" w:pos="284"/>
        </w:tabs>
        <w:spacing w:after="12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81D5E">
        <w:rPr>
          <w:rFonts w:ascii="Arial" w:hAnsi="Arial" w:cs="Arial"/>
          <w:b/>
          <w:sz w:val="24"/>
          <w:szCs w:val="24"/>
        </w:rPr>
        <w:t>Considerando ainda que,</w:t>
      </w:r>
    </w:p>
    <w:p w14:paraId="0785812B" w14:textId="77777777" w:rsidR="001A3919" w:rsidRDefault="001A3919" w:rsidP="001A3919">
      <w:pPr>
        <w:pStyle w:val="PargrafodaLista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0918E5">
        <w:rPr>
          <w:rFonts w:ascii="Arial" w:hAnsi="Arial" w:cs="Arial"/>
          <w:sz w:val="24"/>
          <w:szCs w:val="24"/>
        </w:rPr>
        <w:t>STCP - Sociedade de Transportes Colectivos do Porto,</w:t>
      </w:r>
      <w:r>
        <w:rPr>
          <w:rFonts w:ascii="Arial" w:hAnsi="Arial" w:cs="Arial"/>
          <w:sz w:val="24"/>
          <w:szCs w:val="24"/>
        </w:rPr>
        <w:t xml:space="preserve"> E.I.M.</w:t>
      </w:r>
      <w:r w:rsidRPr="000918E5">
        <w:rPr>
          <w:rFonts w:ascii="Arial" w:hAnsi="Arial" w:cs="Arial"/>
          <w:sz w:val="24"/>
          <w:szCs w:val="24"/>
        </w:rPr>
        <w:t xml:space="preserve"> S.A.</w:t>
      </w:r>
      <w:r>
        <w:rPr>
          <w:rFonts w:ascii="Arial" w:hAnsi="Arial" w:cs="Arial"/>
          <w:sz w:val="24"/>
          <w:szCs w:val="24"/>
        </w:rPr>
        <w:t xml:space="preserve"> (STCP) é acionista único de uma empresa denominada STCP Serviços;</w:t>
      </w:r>
    </w:p>
    <w:p w14:paraId="27B8FA4E" w14:textId="77777777" w:rsidR="001A3919" w:rsidRPr="000918E5" w:rsidRDefault="001A3919" w:rsidP="001A3919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0918E5">
        <w:rPr>
          <w:rFonts w:ascii="Arial" w:eastAsia="Times New Roman" w:hAnsi="Arial" w:cs="Arial"/>
          <w:sz w:val="24"/>
          <w:szCs w:val="24"/>
          <w:lang w:eastAsia="pt-PT"/>
        </w:rPr>
        <w:t>O Decreto-Lei n.º 151/2019 de 11 de outubro determinou a transferência da totalidade do capital social da STCP do Estado para os Municípios do Porto (53,69%), Vila Nova de Gaia (12,04%), Matosinhos (11,98%), Maia (9,61%), Gondomar (7,28%) e Valongo (5,4%), bem como das competências de autoridade de transportes previstas no artigo 5.º do RJSPTP e, ainda, da posição de concedente detida pelo Estado no Contrato de Concessão de Serviço Público;</w:t>
      </w:r>
    </w:p>
    <w:p w14:paraId="7E675833" w14:textId="77777777" w:rsidR="001A3919" w:rsidRPr="000918E5" w:rsidRDefault="001A3919" w:rsidP="001A3919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0918E5">
        <w:rPr>
          <w:rFonts w:ascii="Arial" w:eastAsia="Times New Roman" w:hAnsi="Arial" w:cs="Arial"/>
          <w:sz w:val="24"/>
          <w:szCs w:val="24"/>
          <w:lang w:eastAsia="pt-PT"/>
        </w:rPr>
        <w:t>O Decreto-Lei n.º 151/2019 estabeleceu a sua entrada em vigor para o dia 1 de janeiro de 2020, data em que, e independentemente de quaisquer formalidades, operou a estabelecida transferência do capital social, incluindo as participações sociais da STCP noutras sociedades</w:t>
      </w:r>
      <w:r>
        <w:rPr>
          <w:rFonts w:ascii="Arial" w:eastAsia="Times New Roman" w:hAnsi="Arial" w:cs="Arial"/>
          <w:sz w:val="24"/>
          <w:szCs w:val="24"/>
          <w:lang w:eastAsia="pt-PT"/>
        </w:rPr>
        <w:t>, tais como a STCP Serviços</w:t>
      </w:r>
      <w:r w:rsidRPr="000918E5"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14:paraId="5DAFA2DF" w14:textId="77777777" w:rsidR="001A3919" w:rsidRDefault="001A3919" w:rsidP="001A3919">
      <w:pPr>
        <w:numPr>
          <w:ilvl w:val="0"/>
          <w:numId w:val="1"/>
        </w:numPr>
        <w:spacing w:before="120" w:after="0" w:line="320" w:lineRule="exac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0918E5">
        <w:rPr>
          <w:rFonts w:ascii="Arial" w:eastAsia="Times New Roman" w:hAnsi="Arial" w:cs="Arial"/>
          <w:sz w:val="24"/>
          <w:szCs w:val="24"/>
          <w:lang w:eastAsia="pt-PT"/>
        </w:rPr>
        <w:t xml:space="preserve">Em consequência, a STCP a ser uma empresa local, nos termos do disposto no artigo 19.º do </w:t>
      </w:r>
      <w:r>
        <w:rPr>
          <w:rFonts w:ascii="Arial" w:eastAsia="Times New Roman" w:hAnsi="Arial" w:cs="Arial"/>
          <w:sz w:val="24"/>
          <w:szCs w:val="24"/>
          <w:lang w:eastAsia="pt-PT"/>
        </w:rPr>
        <w:t>Regime Jurídico da Atividade Empresarial L</w:t>
      </w:r>
      <w:r w:rsidRPr="00F63D42">
        <w:rPr>
          <w:rFonts w:ascii="Arial" w:eastAsia="Times New Roman" w:hAnsi="Arial" w:cs="Arial"/>
          <w:sz w:val="24"/>
          <w:szCs w:val="24"/>
          <w:lang w:eastAsia="pt-PT"/>
        </w:rPr>
        <w:t>ocal</w:t>
      </w:r>
      <w:r w:rsidRPr="000918E5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PT"/>
        </w:rPr>
        <w:t>(</w:t>
      </w:r>
      <w:r w:rsidRPr="000918E5">
        <w:rPr>
          <w:rFonts w:ascii="Arial" w:eastAsia="Times New Roman" w:hAnsi="Arial" w:cs="Arial"/>
          <w:sz w:val="24"/>
          <w:szCs w:val="24"/>
          <w:lang w:eastAsia="pt-PT"/>
        </w:rPr>
        <w:t>RJAEL</w:t>
      </w:r>
      <w:r>
        <w:rPr>
          <w:rFonts w:ascii="Arial" w:eastAsia="Times New Roman" w:hAnsi="Arial" w:cs="Arial"/>
          <w:sz w:val="24"/>
          <w:szCs w:val="24"/>
          <w:lang w:eastAsia="pt-PT"/>
        </w:rPr>
        <w:t>);</w:t>
      </w:r>
    </w:p>
    <w:p w14:paraId="36083914" w14:textId="77777777" w:rsidR="001A3919" w:rsidRDefault="001A3919" w:rsidP="001A3919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0918E5">
        <w:rPr>
          <w:rFonts w:ascii="Arial" w:eastAsia="Times New Roman" w:hAnsi="Arial" w:cs="Arial"/>
          <w:sz w:val="24"/>
          <w:szCs w:val="24"/>
          <w:lang w:eastAsia="pt-PT"/>
        </w:rPr>
        <w:lastRenderedPageBreak/>
        <w:t>No que concerne à STCP Serviços, apesar de o seu capital social continuar a ser detido pela STCP, o seu estatuto passou a ser também o de empresa local, em virtude do disposto nos artigos 68.º, n.º 1, e 70.º do RJAEL, aplicáveis por força dos artigos 9.º, n.º 1, alínea b), e 10.º do Decreto-Lei n.º 151/2019, de 11 de outubro, sendo para todos os efeitos as suas entidades públicas participantes os seis Municípios acionistas da STCP (cfr. artigo 5.º do RJAEL);</w:t>
      </w:r>
    </w:p>
    <w:p w14:paraId="7482759A" w14:textId="77777777" w:rsidR="001A3919" w:rsidRPr="00E54B0B" w:rsidRDefault="001A3919" w:rsidP="001A3919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Trebuchet MS" w:hAnsi="Trebuchet MS" w:cs="TimesNewRomanPSMT"/>
          <w:caps/>
          <w:spacing w:val="12"/>
          <w:sz w:val="20"/>
        </w:rPr>
        <w:t xml:space="preserve"> </w:t>
      </w:r>
      <w:r w:rsidRPr="00E54B0B">
        <w:rPr>
          <w:rFonts w:ascii="Arial" w:eastAsia="Times New Roman" w:hAnsi="Arial" w:cs="Arial"/>
          <w:sz w:val="24"/>
          <w:szCs w:val="24"/>
          <w:lang w:eastAsia="pt-PT"/>
        </w:rPr>
        <w:t xml:space="preserve">A </w:t>
      </w:r>
      <w:r w:rsidRPr="000918E5">
        <w:rPr>
          <w:rFonts w:ascii="Arial" w:eastAsia="Times New Roman" w:hAnsi="Arial" w:cs="Arial"/>
          <w:sz w:val="24"/>
          <w:szCs w:val="24"/>
          <w:lang w:eastAsia="pt-PT"/>
        </w:rPr>
        <w:t>STCP Serviços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tem previsto no</w:t>
      </w:r>
      <w:r w:rsidRPr="00E54B0B">
        <w:rPr>
          <w:rFonts w:ascii="Arial" w:eastAsia="Times New Roman" w:hAnsi="Arial" w:cs="Arial"/>
          <w:sz w:val="24"/>
          <w:szCs w:val="24"/>
          <w:lang w:eastAsia="pt-PT"/>
        </w:rPr>
        <w:t xml:space="preserve"> seu objeto social (i) a aquisição, locação, construção, instalação, desenvolvimento, manutenção e operação equipamentos e infraestruturas destinados ao transporte de passageiros, em qualquer um dos modos, (ii) a construção, gestão, exploração, desenvolvimento e operação de infraestruturas, sistemas ou produtos de mobilidade elétrica, de mobilidade leve, de mobilidade partilhada e, ainda, de meios de transporte utilizadores de energias alternativas, (iii) a prestação de serviços de logística urbana, (iv) o planeamento, construção, manutenção, gestão, exploração e operação de infraestruturas de estacionamento público urbano, incluindo a de parques e equipamentos destinados a essa finalidade, como terminais rodo-ferroviários e interfaces intermodais, diretamente ou através da contratação de terceiros para esse efeito mediante o modelo jurídico que se considerar mais adequado, (v) o planeamento, construção, manutenção, gestão, exploração e operação de infraestruturas de apoio e suporte à logística urbana e a todos os modos de mobilidade, nomeadamente de pontos de carregamento de veículos elétricos, plataformas logísticas, centros de consolidação de carga ou armazéns, (vi) a administração do domínio público e privado dos Municípios participantes da STCP, ou da própria STCP, que lhe seja afeto para a prossecução das suas atribuições, e (vii) a fiscalização nos termos previstos no artigo 5.º do Decreto-Lei n.º 44/2005, de 23 de fevereiro, e no Decreto-Lei n.º 327/98, de 2 de novembro, alterado pela Lei n.º 99/99, de 26 de julho, bem como da legislação que altere ou substitua essas normas, do cumprimento das disposições do Código da Estrada, das normas constantes e legislação complementar e dos regulamentos e posturas municipais relativos ao estacionamento público e serviços de apoio à mobilidade urbana;</w:t>
      </w:r>
    </w:p>
    <w:p w14:paraId="4BE67DC5" w14:textId="77777777" w:rsidR="001A3919" w:rsidRPr="00101433" w:rsidRDefault="001A3919" w:rsidP="001A3919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101433">
        <w:rPr>
          <w:rFonts w:ascii="Arial" w:eastAsia="Times New Roman" w:hAnsi="Arial" w:cs="Arial"/>
          <w:sz w:val="24"/>
          <w:szCs w:val="24"/>
          <w:lang w:eastAsia="pt-PT"/>
        </w:rPr>
        <w:t>O Município do Porto pretende confiar à STCP Serviços a execução de várias tarefas no âmbito do seu objeto social, mediante celebração de contrato-</w:t>
      </w:r>
      <w:r w:rsidRPr="00101433">
        <w:rPr>
          <w:rFonts w:ascii="Arial" w:eastAsia="Times New Roman" w:hAnsi="Arial" w:cs="Arial"/>
          <w:sz w:val="24"/>
          <w:szCs w:val="24"/>
          <w:lang w:eastAsia="pt-PT"/>
        </w:rPr>
        <w:lastRenderedPageBreak/>
        <w:t>programa ao abrigo do artigo 47.º do RJAEL, que defin</w:t>
      </w:r>
      <w:r>
        <w:rPr>
          <w:rFonts w:ascii="Arial" w:eastAsia="Times New Roman" w:hAnsi="Arial" w:cs="Arial"/>
          <w:sz w:val="24"/>
          <w:szCs w:val="24"/>
          <w:lang w:eastAsia="pt-PT"/>
        </w:rPr>
        <w:t>e</w:t>
      </w:r>
      <w:r w:rsidRPr="00101433">
        <w:rPr>
          <w:rFonts w:ascii="Arial" w:eastAsia="Times New Roman" w:hAnsi="Arial" w:cs="Arial"/>
          <w:sz w:val="24"/>
          <w:szCs w:val="24"/>
          <w:lang w:eastAsia="pt-PT"/>
        </w:rPr>
        <w:t xml:space="preserve"> a missão e o conteúdo das responsabilidades assumidas e se estabeleça os termos da prossecução da atividade municipal levada a cabo pela empresa em harmonia com os objetivos e interesses do Município do Porto;</w:t>
      </w:r>
    </w:p>
    <w:p w14:paraId="6473CCE6" w14:textId="77777777" w:rsidR="001A3919" w:rsidRDefault="001A3919" w:rsidP="001A3919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E54B0B">
        <w:rPr>
          <w:rFonts w:ascii="Arial" w:eastAsia="Times New Roman" w:hAnsi="Arial" w:cs="Arial"/>
          <w:sz w:val="24"/>
          <w:szCs w:val="24"/>
          <w:lang w:eastAsia="pt-PT"/>
        </w:rPr>
        <w:t>No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artigo 4.º-A do</w:t>
      </w:r>
      <w:r w:rsidRPr="00E54B0B">
        <w:rPr>
          <w:rFonts w:ascii="Arial" w:eastAsia="Times New Roman" w:hAnsi="Arial" w:cs="Arial"/>
          <w:sz w:val="24"/>
          <w:szCs w:val="24"/>
          <w:lang w:eastAsia="pt-PT"/>
        </w:rPr>
        <w:t xml:space="preserve">s estatutos da </w:t>
      </w:r>
      <w:r w:rsidRPr="000918E5">
        <w:rPr>
          <w:rFonts w:ascii="Arial" w:eastAsia="Times New Roman" w:hAnsi="Arial" w:cs="Arial"/>
          <w:sz w:val="24"/>
          <w:szCs w:val="24"/>
          <w:lang w:eastAsia="pt-PT"/>
        </w:rPr>
        <w:t>STCP Serviços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está prevista</w:t>
      </w:r>
      <w:r w:rsidRPr="00E54B0B">
        <w:rPr>
          <w:rFonts w:ascii="Arial" w:eastAsia="Times New Roman" w:hAnsi="Arial" w:cs="Arial"/>
          <w:sz w:val="24"/>
          <w:szCs w:val="24"/>
          <w:lang w:eastAsia="pt-PT"/>
        </w:rPr>
        <w:t xml:space="preserve"> a possibilidade de a empresa, nos termos e para os efeitos previstos no n.º 1 do artigo 27.º do RJAEL, exercer os poderes de autoridade necessários à prossecução do seu objeto social nela delegados pelo Município do Porto;</w:t>
      </w:r>
    </w:p>
    <w:p w14:paraId="498887B1" w14:textId="77777777" w:rsidR="001A3919" w:rsidRPr="00F63D42" w:rsidRDefault="001A3919" w:rsidP="001A3919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A delegação de competências pelo Município do Porto na STCP Serviços é necessária e adequada à execução por esta empresa das atividades que lhe irão ser confiadas através do Contrato-Programa</w:t>
      </w:r>
      <w:r w:rsidRPr="00F63D42"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14:paraId="15CA7FF9" w14:textId="77777777" w:rsidR="001A3919" w:rsidRDefault="001A3919" w:rsidP="001A3919">
      <w:pPr>
        <w:pStyle w:val="PargrafodaLista"/>
        <w:tabs>
          <w:tab w:val="left" w:pos="284"/>
        </w:tabs>
        <w:spacing w:after="12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49C31CD" w14:textId="77777777" w:rsidR="001A3919" w:rsidRDefault="001A3919" w:rsidP="001A391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Neste sentido, PROPONHO</w:t>
      </w:r>
      <w:r>
        <w:rPr>
          <w:rFonts w:ascii="Arial" w:hAnsi="Arial" w:cs="Arial"/>
          <w:sz w:val="24"/>
          <w:szCs w:val="24"/>
        </w:rPr>
        <w:t>:</w:t>
      </w:r>
    </w:p>
    <w:p w14:paraId="472F3DBE" w14:textId="77777777" w:rsidR="001A3919" w:rsidRPr="00C740F4" w:rsidRDefault="001A3919" w:rsidP="001A3919">
      <w:pPr>
        <w:pStyle w:val="PargrafodaLista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40F4">
        <w:rPr>
          <w:rFonts w:ascii="Arial" w:hAnsi="Arial" w:cs="Arial"/>
          <w:sz w:val="24"/>
          <w:szCs w:val="24"/>
        </w:rPr>
        <w:t xml:space="preserve">Que nos termos </w:t>
      </w:r>
      <w:r>
        <w:rPr>
          <w:rFonts w:ascii="Arial" w:hAnsi="Arial" w:cs="Arial"/>
          <w:sz w:val="24"/>
          <w:szCs w:val="24"/>
        </w:rPr>
        <w:t xml:space="preserve">do disposto no artigo 27.º, n.º 1, da Lei n.º 50/2012, de 31 de agosto, na redação em vigor, e no artigo 25.º, n.º 1, alínea n), e no artigo 33.º, n.º 1, alínea ccc), do Anexo I à Lei n.º 75/2013, de 12 de setembro, na redação em vigor, que a Câmara </w:t>
      </w:r>
      <w:r w:rsidRPr="00C33ACE">
        <w:rPr>
          <w:rFonts w:ascii="Arial" w:hAnsi="Arial" w:cs="Arial"/>
          <w:sz w:val="24"/>
          <w:szCs w:val="24"/>
        </w:rPr>
        <w:t>Municipal delibere:</w:t>
      </w:r>
    </w:p>
    <w:p w14:paraId="7A608BAB" w14:textId="77777777" w:rsidR="001A3919" w:rsidRDefault="001A3919" w:rsidP="001A3919">
      <w:pPr>
        <w:pStyle w:val="Pargrafoda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Aprovar e submeter à Assembleia Municipal:</w:t>
      </w:r>
    </w:p>
    <w:p w14:paraId="64DB23AB" w14:textId="77777777" w:rsidR="001A3919" w:rsidRPr="00101433" w:rsidRDefault="001A3919" w:rsidP="001A3919">
      <w:pPr>
        <w:pStyle w:val="Pargrafoda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101433">
        <w:rPr>
          <w:rFonts w:ascii="Arial" w:hAnsi="Arial" w:cs="Arial"/>
          <w:sz w:val="24"/>
          <w:szCs w:val="24"/>
        </w:rPr>
        <w:t>delega</w:t>
      </w:r>
      <w:r>
        <w:rPr>
          <w:rFonts w:ascii="Arial" w:hAnsi="Arial" w:cs="Arial"/>
          <w:sz w:val="24"/>
          <w:szCs w:val="24"/>
        </w:rPr>
        <w:t>ção</w:t>
      </w:r>
      <w:r w:rsidRPr="00101433">
        <w:rPr>
          <w:rFonts w:ascii="Arial" w:hAnsi="Arial" w:cs="Arial"/>
          <w:sz w:val="24"/>
          <w:szCs w:val="24"/>
        </w:rPr>
        <w:t xml:space="preserve"> na STCP Serviços </w:t>
      </w:r>
      <w:r>
        <w:rPr>
          <w:rFonts w:ascii="Arial" w:hAnsi="Arial" w:cs="Arial"/>
          <w:sz w:val="24"/>
          <w:szCs w:val="24"/>
        </w:rPr>
        <w:t>d</w:t>
      </w:r>
      <w:r w:rsidRPr="00101433">
        <w:rPr>
          <w:rFonts w:ascii="Arial" w:hAnsi="Arial" w:cs="Arial"/>
          <w:sz w:val="24"/>
          <w:szCs w:val="24"/>
        </w:rPr>
        <w:t>os seguintes poderes de autoridade necessários à prossecução do seu objeto social:</w:t>
      </w:r>
    </w:p>
    <w:p w14:paraId="45F43D66" w14:textId="77777777" w:rsidR="001A3919" w:rsidRPr="00101433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t>Utilizar as vias públicas municipais para o exercício das suas funções;</w:t>
      </w:r>
    </w:p>
    <w:p w14:paraId="45E44992" w14:textId="77777777" w:rsidR="001A3919" w:rsidRPr="00101433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t>Os previstos no artigo 5.º do Decreto-Lei n.º 44/2005, de 23 de fevereiro, e no Decreto-Lei n.º 327/98, de 2 de novembro, alterado pela Lei n.º 99/99, de 26 de julho, bem como da legislação que altere ou substitua essas normas:</w:t>
      </w:r>
    </w:p>
    <w:p w14:paraId="61E745DF" w14:textId="77777777" w:rsidR="001A3919" w:rsidRPr="00101433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t>Requerer a constituição de servidões e a expropriação por utilidade pública;</w:t>
      </w:r>
    </w:p>
    <w:p w14:paraId="00706211" w14:textId="77777777" w:rsidR="001A3919" w:rsidRPr="00101433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lastRenderedPageBreak/>
        <w:t>Preparação e condução dos processos administrativos e materiais tendentes à integração no seu ativo, sem contrapartida para o Município do Porto, de infraestruturas, sem prejuízo da respetiva dominialidade pública;</w:t>
      </w:r>
    </w:p>
    <w:p w14:paraId="726EE8C9" w14:textId="77777777" w:rsidR="001A3919" w:rsidRPr="00101433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t>Prática de todos os atos relativos à preparação, lançamento, condução e contratualização dos processos administrativos de contratação pública, em benefício e representação do Município do Porto, tendentes à celebração de contratos de obras públicas e de concessão de obras e de serviços públicos;</w:t>
      </w:r>
    </w:p>
    <w:p w14:paraId="23E55338" w14:textId="77777777" w:rsidR="001A3919" w:rsidRPr="00101433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t>Administrar os bens do domínio público ou privado do Município do Porto que sejam afetos ao exercício da sua atividade;</w:t>
      </w:r>
    </w:p>
    <w:p w14:paraId="2FB65573" w14:textId="77777777" w:rsidR="001A3919" w:rsidRPr="00101433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t>Instrução dos processos de contraordenação por violação dos seus regulamentos ou dos regulamentos municipais aplicáveis no âmbito das atividades que constituem o seu objeto social;</w:t>
      </w:r>
    </w:p>
    <w:p w14:paraId="00F8E8E9" w14:textId="77777777" w:rsidR="001A3919" w:rsidRPr="00101433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t>Procedimento de cobrança de taxas, tarifas e preços, no âmbito da prossecução do seu objeto;</w:t>
      </w:r>
    </w:p>
    <w:p w14:paraId="680BD4BC" w14:textId="77777777" w:rsidR="001A3919" w:rsidRPr="00101433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t>Preparar e apresentar candidaturas a financiamentos ou fundos nacionais e comunitários que se encontrem disponíveis para as atividades por si desenvolvidas, bem como celebrar contratos programa com outras entidades públicas;</w:t>
      </w:r>
    </w:p>
    <w:p w14:paraId="28ED22F1" w14:textId="77777777" w:rsidR="001A3919" w:rsidRDefault="001A3919" w:rsidP="001A3919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01433">
        <w:rPr>
          <w:rFonts w:ascii="Arial" w:hAnsi="Arial" w:cs="Arial"/>
          <w:sz w:val="24"/>
          <w:szCs w:val="24"/>
        </w:rPr>
        <w:t>Todos os demais poderes administrativos e de autoridade pública previstos na lei, necessários à prossecução do seu objeto social e que sejam objeto de decisão correspondente por partes dos órgãos autárquicos competentes.</w:t>
      </w:r>
    </w:p>
    <w:p w14:paraId="2C62330C" w14:textId="77777777" w:rsidR="001A3919" w:rsidRDefault="001A3919" w:rsidP="001A3919">
      <w:pPr>
        <w:pStyle w:val="Pargrafoda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que a delegação de poderes referida no ponto anterior é limitada ao seguinte âmbito:</w:t>
      </w:r>
    </w:p>
    <w:p w14:paraId="4E4D0F60" w14:textId="77777777" w:rsidR="001A3919" w:rsidRDefault="001A3919" w:rsidP="001A3919">
      <w:pPr>
        <w:pStyle w:val="Pargrafoda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B23A7">
        <w:rPr>
          <w:rFonts w:ascii="Arial" w:hAnsi="Arial" w:cs="Arial"/>
          <w:sz w:val="24"/>
          <w:szCs w:val="24"/>
        </w:rPr>
        <w:t>xploração e gestão</w:t>
      </w:r>
      <w:r>
        <w:rPr>
          <w:rFonts w:ascii="Arial" w:hAnsi="Arial" w:cs="Arial"/>
          <w:sz w:val="24"/>
          <w:szCs w:val="24"/>
        </w:rPr>
        <w:t xml:space="preserve"> do </w:t>
      </w:r>
      <w:r w:rsidRPr="005B23A7">
        <w:rPr>
          <w:rFonts w:ascii="Arial" w:hAnsi="Arial" w:cs="Arial"/>
          <w:sz w:val="24"/>
          <w:szCs w:val="24"/>
        </w:rPr>
        <w:t>Funicular dos Guindais</w:t>
      </w:r>
      <w:r>
        <w:rPr>
          <w:rFonts w:ascii="Arial" w:hAnsi="Arial" w:cs="Arial"/>
          <w:sz w:val="24"/>
          <w:szCs w:val="24"/>
        </w:rPr>
        <w:t xml:space="preserve">, do </w:t>
      </w:r>
      <w:r w:rsidRPr="005B23A7">
        <w:rPr>
          <w:rFonts w:ascii="Arial" w:hAnsi="Arial" w:cs="Arial"/>
          <w:sz w:val="24"/>
          <w:szCs w:val="24"/>
        </w:rPr>
        <w:t>Elevador da Lada</w:t>
      </w:r>
      <w:r>
        <w:rPr>
          <w:rFonts w:ascii="Arial" w:hAnsi="Arial" w:cs="Arial"/>
          <w:sz w:val="24"/>
          <w:szCs w:val="24"/>
        </w:rPr>
        <w:t xml:space="preserve"> e das </w:t>
      </w:r>
      <w:r w:rsidRPr="005B23A7">
        <w:rPr>
          <w:rFonts w:ascii="Arial" w:hAnsi="Arial" w:cs="Arial"/>
          <w:sz w:val="24"/>
          <w:szCs w:val="24"/>
        </w:rPr>
        <w:t>Escadas Mecânicas do Monte dos Judeus</w:t>
      </w:r>
      <w:r>
        <w:rPr>
          <w:rFonts w:ascii="Arial" w:hAnsi="Arial" w:cs="Arial"/>
          <w:sz w:val="24"/>
          <w:szCs w:val="24"/>
        </w:rPr>
        <w:t>, todos a colocar à disposição da STCP Serviços;</w:t>
      </w:r>
    </w:p>
    <w:p w14:paraId="7D53C2AB" w14:textId="77777777" w:rsidR="001A3919" w:rsidRDefault="001A3919" w:rsidP="001A3919">
      <w:pPr>
        <w:pStyle w:val="Pargrafoda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Pr="005B23A7">
        <w:rPr>
          <w:rFonts w:ascii="Arial" w:hAnsi="Arial" w:cs="Arial"/>
          <w:sz w:val="24"/>
          <w:szCs w:val="24"/>
        </w:rPr>
        <w:t>xploração e gestão</w:t>
      </w:r>
      <w:r>
        <w:rPr>
          <w:rFonts w:ascii="Arial" w:hAnsi="Arial" w:cs="Arial"/>
          <w:sz w:val="24"/>
          <w:szCs w:val="24"/>
        </w:rPr>
        <w:t xml:space="preserve"> do </w:t>
      </w:r>
      <w:r w:rsidRPr="005B23A7">
        <w:rPr>
          <w:rFonts w:ascii="Arial" w:hAnsi="Arial" w:cs="Arial"/>
          <w:sz w:val="24"/>
          <w:szCs w:val="24"/>
        </w:rPr>
        <w:t>Terminal Intermodal da Campanhã</w:t>
      </w:r>
      <w:r>
        <w:rPr>
          <w:rFonts w:ascii="Arial" w:hAnsi="Arial" w:cs="Arial"/>
          <w:sz w:val="24"/>
          <w:szCs w:val="24"/>
        </w:rPr>
        <w:t xml:space="preserve">, do </w:t>
      </w:r>
      <w:r w:rsidRPr="005B23A7">
        <w:rPr>
          <w:rFonts w:ascii="Arial" w:hAnsi="Arial" w:cs="Arial"/>
          <w:sz w:val="24"/>
          <w:szCs w:val="24"/>
        </w:rPr>
        <w:t xml:space="preserve">Terminal das Camélias, do Terminal do Bom Sucesso, do Parque de Estacionamento da Trindade, do Parque de Estacionamento Duque de Loulé, </w:t>
      </w:r>
      <w:r>
        <w:rPr>
          <w:rFonts w:ascii="Arial" w:hAnsi="Arial" w:cs="Arial"/>
          <w:sz w:val="24"/>
          <w:szCs w:val="24"/>
        </w:rPr>
        <w:t xml:space="preserve">do </w:t>
      </w:r>
      <w:r w:rsidRPr="005B23A7">
        <w:rPr>
          <w:rFonts w:ascii="Arial" w:hAnsi="Arial" w:cs="Arial"/>
          <w:sz w:val="24"/>
          <w:szCs w:val="24"/>
        </w:rPr>
        <w:t xml:space="preserve">Parque de Estacionamento Caminhos do Romântico </w:t>
      </w:r>
      <w:r>
        <w:rPr>
          <w:rFonts w:ascii="Arial" w:hAnsi="Arial" w:cs="Arial"/>
          <w:sz w:val="24"/>
          <w:szCs w:val="24"/>
        </w:rPr>
        <w:t xml:space="preserve">e do </w:t>
      </w:r>
      <w:r w:rsidRPr="005B23A7">
        <w:rPr>
          <w:rFonts w:ascii="Arial" w:hAnsi="Arial" w:cs="Arial"/>
          <w:sz w:val="24"/>
          <w:szCs w:val="24"/>
        </w:rPr>
        <w:t>Parque de Estacionamento Viela do Anjo</w:t>
      </w:r>
      <w:r>
        <w:rPr>
          <w:rFonts w:ascii="Arial" w:hAnsi="Arial" w:cs="Arial"/>
          <w:sz w:val="24"/>
          <w:szCs w:val="24"/>
        </w:rPr>
        <w:t>, todos a colocar à disposição da STCP Serviços;</w:t>
      </w:r>
    </w:p>
    <w:p w14:paraId="11601070" w14:textId="77777777" w:rsidR="001A3919" w:rsidRPr="005B23A7" w:rsidRDefault="001A3919" w:rsidP="001A3919">
      <w:pPr>
        <w:pStyle w:val="Pargrafoda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5B23A7">
        <w:rPr>
          <w:rFonts w:ascii="Arial" w:hAnsi="Arial" w:cs="Arial"/>
          <w:sz w:val="24"/>
          <w:szCs w:val="24"/>
        </w:rPr>
        <w:t>estão dos contratos de concessão de exploração de parque de estacionamento em que o Município é concedente respeitante aos estabelecimentos</w:t>
      </w:r>
      <w:r>
        <w:rPr>
          <w:rFonts w:ascii="Arial" w:hAnsi="Arial" w:cs="Arial"/>
          <w:sz w:val="24"/>
          <w:szCs w:val="24"/>
        </w:rPr>
        <w:t xml:space="preserve"> da </w:t>
      </w:r>
      <w:r w:rsidRPr="005B23A7">
        <w:rPr>
          <w:rFonts w:ascii="Arial" w:hAnsi="Arial" w:cs="Arial"/>
          <w:sz w:val="24"/>
          <w:szCs w:val="24"/>
        </w:rPr>
        <w:t xml:space="preserve">Ribeira, Palácio da Justiça, Praça de Lisboa, Praça Gomes Teixeira, Praça Carlos Alberto, Praça </w:t>
      </w:r>
      <w:r>
        <w:rPr>
          <w:rFonts w:ascii="Arial" w:hAnsi="Arial" w:cs="Arial"/>
          <w:sz w:val="24"/>
          <w:szCs w:val="24"/>
        </w:rPr>
        <w:t>D</w:t>
      </w:r>
      <w:r w:rsidRPr="005B23A7">
        <w:rPr>
          <w:rFonts w:ascii="Arial" w:hAnsi="Arial" w:cs="Arial"/>
          <w:sz w:val="24"/>
          <w:szCs w:val="24"/>
        </w:rPr>
        <w:t>. João I e Aviz, Castelo do Queijo e Adelino Amaro da Costa.</w:t>
      </w:r>
    </w:p>
    <w:p w14:paraId="2D6344F9" w14:textId="77777777" w:rsidR="001A3919" w:rsidRDefault="001A3919" w:rsidP="001A3919">
      <w:pPr>
        <w:autoSpaceDE w:val="0"/>
        <w:autoSpaceDN w:val="0"/>
        <w:adjustRightInd w:val="0"/>
        <w:spacing w:after="120" w:line="360" w:lineRule="auto"/>
        <w:ind w:right="-20"/>
        <w:jc w:val="both"/>
        <w:rPr>
          <w:rFonts w:ascii="Arial" w:hAnsi="Arial" w:cs="Arial"/>
          <w:sz w:val="24"/>
          <w:szCs w:val="24"/>
        </w:rPr>
      </w:pPr>
    </w:p>
    <w:p w14:paraId="5459C558" w14:textId="77777777" w:rsidR="001A3919" w:rsidRDefault="001A3919" w:rsidP="001A3919">
      <w:pPr>
        <w:autoSpaceDE w:val="0"/>
        <w:autoSpaceDN w:val="0"/>
        <w:adjustRightInd w:val="0"/>
        <w:spacing w:after="120" w:line="360" w:lineRule="auto"/>
        <w:ind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Porto, Paços do Município, 07 de fevereiro de 2022.</w:t>
      </w:r>
    </w:p>
    <w:p w14:paraId="12F4A65A" w14:textId="77777777" w:rsidR="001A3919" w:rsidRDefault="001A3919" w:rsidP="001A3919">
      <w:pPr>
        <w:autoSpaceDE w:val="0"/>
        <w:autoSpaceDN w:val="0"/>
        <w:adjustRightInd w:val="0"/>
        <w:spacing w:after="120" w:line="360" w:lineRule="auto"/>
        <w:ind w:right="-20"/>
        <w:jc w:val="both"/>
        <w:rPr>
          <w:rFonts w:ascii="Arial" w:hAnsi="Arial" w:cs="Arial"/>
          <w:sz w:val="24"/>
          <w:szCs w:val="24"/>
        </w:rPr>
      </w:pPr>
    </w:p>
    <w:p w14:paraId="4E9E74F4" w14:textId="77777777" w:rsidR="001A3919" w:rsidRDefault="001A3919" w:rsidP="001A3919">
      <w:pPr>
        <w:autoSpaceDE w:val="0"/>
        <w:autoSpaceDN w:val="0"/>
        <w:adjustRightInd w:val="0"/>
        <w:spacing w:after="120" w:line="360" w:lineRule="auto"/>
        <w:ind w:right="-20"/>
        <w:jc w:val="both"/>
        <w:rPr>
          <w:rFonts w:ascii="Arial" w:hAnsi="Arial" w:cs="Arial"/>
          <w:sz w:val="24"/>
          <w:szCs w:val="24"/>
        </w:rPr>
      </w:pPr>
    </w:p>
    <w:p w14:paraId="2FF99F91" w14:textId="77777777" w:rsidR="001A3919" w:rsidRDefault="001A3919" w:rsidP="001A3919">
      <w:pPr>
        <w:jc w:val="center"/>
        <w:rPr>
          <w:rFonts w:ascii="Arial" w:hAnsi="Arial" w:cs="Arial"/>
          <w:w w:val="101"/>
          <w:position w:val="-4"/>
          <w:sz w:val="24"/>
          <w:szCs w:val="24"/>
        </w:rPr>
      </w:pPr>
      <w:r>
        <w:rPr>
          <w:rFonts w:ascii="Arial" w:hAnsi="Arial" w:cs="Arial"/>
          <w:w w:val="101"/>
          <w:position w:val="-4"/>
          <w:sz w:val="24"/>
          <w:szCs w:val="24"/>
        </w:rPr>
        <w:t>A Vereadora do Pelouro dos Transportes, Ação Social e Proteção Civil</w:t>
      </w:r>
    </w:p>
    <w:p w14:paraId="166B38DF" w14:textId="77777777" w:rsidR="001A3919" w:rsidRDefault="001A3919" w:rsidP="001A3919">
      <w:pPr>
        <w:jc w:val="center"/>
        <w:rPr>
          <w:rFonts w:ascii="Arial" w:hAnsi="Arial" w:cs="Arial"/>
          <w:w w:val="101"/>
          <w:position w:val="-4"/>
          <w:sz w:val="24"/>
          <w:szCs w:val="24"/>
        </w:rPr>
      </w:pPr>
    </w:p>
    <w:p w14:paraId="2A718985" w14:textId="77777777" w:rsidR="001A3919" w:rsidRDefault="001A3919" w:rsidP="001A3919">
      <w:pPr>
        <w:jc w:val="center"/>
        <w:rPr>
          <w:rFonts w:ascii="Arial" w:hAnsi="Arial" w:cs="Arial"/>
          <w:w w:val="101"/>
          <w:position w:val="-4"/>
          <w:sz w:val="24"/>
          <w:szCs w:val="24"/>
        </w:rPr>
      </w:pPr>
      <w:r>
        <w:rPr>
          <w:rFonts w:ascii="Arial" w:hAnsi="Arial" w:cs="Arial"/>
          <w:w w:val="101"/>
          <w:position w:val="-4"/>
          <w:sz w:val="24"/>
          <w:szCs w:val="24"/>
        </w:rPr>
        <w:t>(Cristina Pimentel)</w:t>
      </w:r>
    </w:p>
    <w:p w14:paraId="60B58A3B" w14:textId="77777777" w:rsidR="001A3919" w:rsidRDefault="001A3919" w:rsidP="001A3919">
      <w:pPr>
        <w:jc w:val="center"/>
        <w:rPr>
          <w:rFonts w:ascii="Arial" w:hAnsi="Arial" w:cs="Arial"/>
          <w:w w:val="101"/>
          <w:position w:val="-4"/>
          <w:sz w:val="24"/>
          <w:szCs w:val="24"/>
        </w:rPr>
      </w:pPr>
    </w:p>
    <w:p w14:paraId="78871C81" w14:textId="77777777" w:rsidR="001A3919" w:rsidRPr="00B65762" w:rsidRDefault="001A3919" w:rsidP="00DA1198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42F00DF" w14:textId="77777777" w:rsidR="00B65762" w:rsidRPr="00B65762" w:rsidRDefault="00B65762" w:rsidP="00DA1198">
      <w:pPr>
        <w:rPr>
          <w:rFonts w:ascii="Arial" w:hAnsi="Arial" w:cs="Arial"/>
          <w:sz w:val="24"/>
          <w:szCs w:val="24"/>
          <w:lang w:val="en-US"/>
        </w:rPr>
      </w:pPr>
    </w:p>
    <w:sectPr w:rsidR="00B65762" w:rsidRPr="00B65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F00E2" w14:textId="77777777" w:rsidR="000854ED" w:rsidRDefault="000854ED" w:rsidP="00DA1198">
      <w:pPr>
        <w:spacing w:after="0" w:line="240" w:lineRule="auto"/>
      </w:pPr>
      <w:r>
        <w:separator/>
      </w:r>
    </w:p>
  </w:endnote>
  <w:endnote w:type="continuationSeparator" w:id="0">
    <w:p w14:paraId="642F00E3" w14:textId="77777777" w:rsidR="000854ED" w:rsidRDefault="000854ED" w:rsidP="00DA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F00E0" w14:textId="77777777" w:rsidR="000854ED" w:rsidRDefault="000854ED" w:rsidP="00DA1198">
      <w:pPr>
        <w:spacing w:after="0" w:line="240" w:lineRule="auto"/>
      </w:pPr>
      <w:r>
        <w:separator/>
      </w:r>
    </w:p>
  </w:footnote>
  <w:footnote w:type="continuationSeparator" w:id="0">
    <w:p w14:paraId="642F00E1" w14:textId="77777777" w:rsidR="000854ED" w:rsidRDefault="000854ED" w:rsidP="00DA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13D0"/>
    <w:multiLevelType w:val="hybridMultilevel"/>
    <w:tmpl w:val="960E17A0"/>
    <w:lvl w:ilvl="0" w:tplc="08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57637F"/>
    <w:multiLevelType w:val="hybridMultilevel"/>
    <w:tmpl w:val="5E4C063C"/>
    <w:lvl w:ilvl="0" w:tplc="BF640E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2C40"/>
    <w:multiLevelType w:val="hybridMultilevel"/>
    <w:tmpl w:val="960E17A0"/>
    <w:lvl w:ilvl="0" w:tplc="08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0833AF"/>
    <w:multiLevelType w:val="hybridMultilevel"/>
    <w:tmpl w:val="E8D494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C4998"/>
    <w:multiLevelType w:val="hybridMultilevel"/>
    <w:tmpl w:val="4C6C2F66"/>
    <w:lvl w:ilvl="0" w:tplc="D2CE9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98"/>
    <w:rsid w:val="00081D48"/>
    <w:rsid w:val="000854ED"/>
    <w:rsid w:val="001A3919"/>
    <w:rsid w:val="00B65762"/>
    <w:rsid w:val="00B928EB"/>
    <w:rsid w:val="00B95EB9"/>
    <w:rsid w:val="00D600BE"/>
    <w:rsid w:val="00D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00DE"/>
  <w15:chartTrackingRefBased/>
  <w15:docId w15:val="{1445AC97-02EA-4262-A785-EAAF280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9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A1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1198"/>
  </w:style>
  <w:style w:type="paragraph" w:styleId="Rodap">
    <w:name w:val="footer"/>
    <w:basedOn w:val="Normal"/>
    <w:link w:val="RodapCarter"/>
    <w:uiPriority w:val="99"/>
    <w:unhideWhenUsed/>
    <w:rsid w:val="00DA1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1198"/>
  </w:style>
  <w:style w:type="paragraph" w:styleId="Corpodetexto">
    <w:name w:val="Body Text"/>
    <w:basedOn w:val="Normal"/>
    <w:link w:val="CorpodetextoCarter"/>
    <w:unhideWhenUsed/>
    <w:rsid w:val="001A3919"/>
    <w:pPr>
      <w:spacing w:after="0" w:line="360" w:lineRule="auto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1A3919"/>
    <w:rPr>
      <w:rFonts w:ascii="Arial" w:eastAsia="Times New Roman" w:hAnsi="Arial" w:cs="Times New Roman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1A39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461439EB-E02F-41D5-A63F-728F81B643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73E9786A9918419EEF5CD92373260D" ma:contentTypeVersion="9" ma:contentTypeDescription="Criar um novo documento." ma:contentTypeScope="" ma:versionID="c3b96ee265cd085a14fd2bd61594a26e">
  <xsd:schema xmlns:xsd="http://www.w3.org/2001/XMLSchema" xmlns:xs="http://www.w3.org/2001/XMLSchema" xmlns:p="http://schemas.microsoft.com/office/2006/metadata/properties" xmlns:ns3="461439EB-E02F-41D5-A63F-728F81B64399" targetNamespace="http://schemas.microsoft.com/office/2006/metadata/properties" ma:root="true" ma:fieldsID="bd997b6429da43ddbc41fddbe126219c" ns3:_="">
    <xsd:import namespace="461439EB-E02F-41D5-A63F-728F81B64399"/>
    <xsd:element name="properties">
      <xsd:complexType>
        <xsd:sequence>
          <xsd:element name="documentManagement">
            <xsd:complexType>
              <xsd:all>
                <xsd:element ref="ns3:Observa_x00e7__x00f5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439EB-E02F-41D5-A63F-728F81B64399" elementFormDefault="qualified">
    <xsd:import namespace="http://schemas.microsoft.com/office/2006/documentManagement/types"/>
    <xsd:import namespace="http://schemas.microsoft.com/office/infopath/2007/PartnerControls"/>
    <xsd:element name="Observa_x00e7__x00f5_es" ma:index="12" nillable="true" ma:displayName="Observações" ma:internalName="Observa_x00e7__x00f5_e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66F32-3636-4F81-8FAE-3A44F7B21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AA8D2-D6C6-475E-8064-5B0A965EDF00}">
  <ds:schemaRefs>
    <ds:schemaRef ds:uri="http://purl.org/dc/elements/1.1/"/>
    <ds:schemaRef ds:uri="http://purl.org/dc/dcmitype/"/>
    <ds:schemaRef ds:uri="http://www.w3.org/XML/1998/namespace"/>
    <ds:schemaRef ds:uri="461439EB-E02F-41D5-A63F-728F81B6439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DC0826-5C5A-4567-973F-FB9A05731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439EB-E02F-41D5-A63F-728F81B64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1621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Proposta da DMP_01-06-2016 - proposta.docx</vt:lpstr>
    </vt:vector>
  </TitlesOfParts>
  <Company/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Delegação de Competências do Município do Porto na STCP Serviços - proposta.docx</dc:title>
  <dc:subject/>
  <dc:creator>portalexecutivo3</dc:creator>
  <cp:keywords>CMP</cp:keywords>
  <dc:description/>
  <cp:lastModifiedBy>Sandra Cristina Correia Lopes Garcia Monteiro</cp:lastModifiedBy>
  <cp:revision>3</cp:revision>
  <dcterms:created xsi:type="dcterms:W3CDTF">2016-06-01T17:17:00Z</dcterms:created>
  <dcterms:modified xsi:type="dcterms:W3CDTF">2022-02-02T15:10:00Z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0x010100C573E9786A9918419EEF5CD92373260D</vt:lpwstr>
  </property>
  <property fmtid="{D5CDD505-2E9C-101B-9397-08002B2CF9AE}" pid="3" name="_docset_NoMedatataSyncRequired">
    <vt:lpwstr>False</vt:lpwstr>
  </property>
</Properties>
</file>